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00589" w14:textId="77777777" w:rsidR="000070BC" w:rsidRDefault="000070BC" w:rsidP="000070BC">
      <w:bookmarkStart w:id="0" w:name="_GoBack"/>
      <w:bookmarkEnd w:id="0"/>
      <w:r>
        <w:rPr>
          <w:i/>
        </w:rPr>
        <w:t>Workers’ Comp</w:t>
      </w:r>
    </w:p>
    <w:p w14:paraId="1FD14D49" w14:textId="77777777" w:rsidR="000070BC" w:rsidRDefault="000070BC" w:rsidP="000070BC">
      <w:pPr>
        <w:rPr>
          <w:b/>
        </w:rPr>
      </w:pPr>
      <w:r w:rsidRPr="002229B5">
        <w:rPr>
          <w:b/>
        </w:rPr>
        <w:t>Get Your Workers’ Comp Claims Paid With These Expert Tips</w:t>
      </w:r>
    </w:p>
    <w:p w14:paraId="72E9838C" w14:textId="231D283F" w:rsidR="001C1B32" w:rsidRPr="001C1B32" w:rsidRDefault="001C1B32" w:rsidP="000070BC">
      <w:pPr>
        <w:rPr>
          <w:i/>
        </w:rPr>
      </w:pPr>
      <w:r>
        <w:rPr>
          <w:i/>
        </w:rPr>
        <w:t>BONUS: 5 Handy Checklists Make Workers’ Comp a Breeze!</w:t>
      </w:r>
    </w:p>
    <w:p w14:paraId="3B8EAE61" w14:textId="77777777" w:rsidR="000070BC" w:rsidRDefault="000070BC" w:rsidP="000070BC"/>
    <w:p w14:paraId="6BC4964D" w14:textId="77777777" w:rsidR="000070BC" w:rsidRDefault="000070BC" w:rsidP="000070BC">
      <w:r>
        <w:t xml:space="preserve">Handling workers’ compensation billing doesn’t have to be a pain, says Trish </w:t>
      </w:r>
      <w:proofErr w:type="spellStart"/>
      <w:r>
        <w:t>Bukauskas</w:t>
      </w:r>
      <w:proofErr w:type="spellEnd"/>
      <w:r>
        <w:t>, a coding and billing expert who recently presented (</w:t>
      </w:r>
      <w:r w:rsidRPr="000070BC">
        <w:t xml:space="preserve">https://www.audioeducator.com/multi-speciality-coding-training/workers-compensation-medical-billing.html </w:t>
      </w:r>
      <w:r>
        <w:t xml:space="preserve">) for </w:t>
      </w:r>
      <w:proofErr w:type="spellStart"/>
      <w:r>
        <w:t>AudioEducator</w:t>
      </w:r>
      <w:proofErr w:type="spellEnd"/>
      <w:r>
        <w:t>.</w:t>
      </w:r>
    </w:p>
    <w:p w14:paraId="6FC70AB8" w14:textId="77777777" w:rsidR="000070BC" w:rsidRDefault="000070BC" w:rsidP="000070BC"/>
    <w:p w14:paraId="41F333B3" w14:textId="77777777" w:rsidR="000070BC" w:rsidRDefault="000070BC" w:rsidP="000070BC">
      <w:r>
        <w:t xml:space="preserve">And workers’ comp claims don’t have to </w:t>
      </w:r>
      <w:r w:rsidR="001B687F">
        <w:t xml:space="preserve">saddle your RCM cycle with extra </w:t>
      </w:r>
      <w:r>
        <w:t>A/R days either. You can get them reimbursed within one week of filing—if you know the ropes.</w:t>
      </w:r>
    </w:p>
    <w:p w14:paraId="2A132170" w14:textId="77777777" w:rsidR="000070BC" w:rsidRDefault="000070BC" w:rsidP="000070BC"/>
    <w:p w14:paraId="3AF67D23" w14:textId="77777777" w:rsidR="000070BC" w:rsidRDefault="000070BC" w:rsidP="000070BC">
      <w:pPr>
        <w:rPr>
          <w:b/>
        </w:rPr>
      </w:pPr>
      <w:r>
        <w:rPr>
          <w:b/>
        </w:rPr>
        <w:t>Sweat the Details</w:t>
      </w:r>
    </w:p>
    <w:p w14:paraId="1D2B6B14" w14:textId="77777777" w:rsidR="000070BC" w:rsidRDefault="000070BC" w:rsidP="000070BC">
      <w:pPr>
        <w:rPr>
          <w:b/>
        </w:rPr>
      </w:pPr>
    </w:p>
    <w:p w14:paraId="25B79D0F" w14:textId="77777777" w:rsidR="000070BC" w:rsidRDefault="000070BC" w:rsidP="000070BC">
      <w:r>
        <w:t>Workers’ comp claims typically require a high level of precision, and even small mistakes can result in denials. To start out right, research ahead of time what the requirements and guidelines are, and go from there. You’ll typically need:</w:t>
      </w:r>
    </w:p>
    <w:p w14:paraId="1011042C" w14:textId="77777777" w:rsidR="000070BC" w:rsidRDefault="000070BC" w:rsidP="000070BC"/>
    <w:p w14:paraId="77D9B68A" w14:textId="77777777" w:rsidR="000070BC" w:rsidRDefault="000070BC" w:rsidP="000070BC">
      <w:pPr>
        <w:pStyle w:val="ListParagraph"/>
        <w:numPr>
          <w:ilvl w:val="0"/>
          <w:numId w:val="1"/>
        </w:numPr>
      </w:pPr>
      <w:r>
        <w:t>claimant name,</w:t>
      </w:r>
    </w:p>
    <w:p w14:paraId="763CD2ED" w14:textId="77777777" w:rsidR="000070BC" w:rsidRDefault="000070BC" w:rsidP="000070BC">
      <w:pPr>
        <w:pStyle w:val="ListParagraph"/>
        <w:numPr>
          <w:ilvl w:val="0"/>
          <w:numId w:val="1"/>
        </w:numPr>
      </w:pPr>
      <w:r>
        <w:t>claimant case number,</w:t>
      </w:r>
    </w:p>
    <w:p w14:paraId="1674C59C" w14:textId="159E3F27" w:rsidR="000070BC" w:rsidRDefault="000070BC" w:rsidP="000070BC">
      <w:pPr>
        <w:pStyle w:val="ListParagraph"/>
        <w:numPr>
          <w:ilvl w:val="0"/>
          <w:numId w:val="1"/>
        </w:numPr>
      </w:pPr>
      <w:r>
        <w:t>CPT</w:t>
      </w:r>
      <w:r w:rsidR="001C1B32" w:rsidRPr="00733DEA">
        <w:rPr>
          <w:rFonts w:ascii="Lucida Grande" w:hAnsi="Lucida Grande"/>
          <w:b/>
          <w:color w:val="000000"/>
        </w:rPr>
        <w:t>®</w:t>
      </w:r>
      <w:r>
        <w:t xml:space="preserve"> or HCPCS code(s),</w:t>
      </w:r>
    </w:p>
    <w:p w14:paraId="18CDC0B9" w14:textId="77777777" w:rsidR="001B687F" w:rsidRDefault="001B687F" w:rsidP="000070BC">
      <w:pPr>
        <w:pStyle w:val="ListParagraph"/>
        <w:numPr>
          <w:ilvl w:val="0"/>
          <w:numId w:val="1"/>
        </w:numPr>
      </w:pPr>
      <w:r>
        <w:t>ICD-10 code,</w:t>
      </w:r>
    </w:p>
    <w:p w14:paraId="286744E3" w14:textId="77777777" w:rsidR="000070BC" w:rsidRDefault="000070BC" w:rsidP="000070BC">
      <w:pPr>
        <w:pStyle w:val="ListParagraph"/>
        <w:numPr>
          <w:ilvl w:val="0"/>
          <w:numId w:val="1"/>
        </w:numPr>
      </w:pPr>
      <w:r>
        <w:t>the requested date of service,</w:t>
      </w:r>
    </w:p>
    <w:p w14:paraId="1CCA7D7A" w14:textId="77777777" w:rsidR="000070BC" w:rsidRDefault="000070BC" w:rsidP="000070BC">
      <w:pPr>
        <w:pStyle w:val="ListParagraph"/>
        <w:numPr>
          <w:ilvl w:val="0"/>
          <w:numId w:val="1"/>
        </w:numPr>
      </w:pPr>
      <w:r>
        <w:t>appropriate supporting documentation,</w:t>
      </w:r>
    </w:p>
    <w:p w14:paraId="1F3C6FF6" w14:textId="77777777" w:rsidR="000070BC" w:rsidRDefault="000070BC" w:rsidP="000070BC">
      <w:pPr>
        <w:pStyle w:val="ListParagraph"/>
        <w:numPr>
          <w:ilvl w:val="0"/>
          <w:numId w:val="1"/>
        </w:numPr>
      </w:pPr>
      <w:r>
        <w:t>the provider name, and</w:t>
      </w:r>
    </w:p>
    <w:p w14:paraId="6CA00482" w14:textId="77777777" w:rsidR="000070BC" w:rsidRDefault="000070BC" w:rsidP="000070BC">
      <w:pPr>
        <w:pStyle w:val="ListParagraph"/>
        <w:numPr>
          <w:ilvl w:val="0"/>
          <w:numId w:val="1"/>
        </w:numPr>
      </w:pPr>
      <w:r>
        <w:t>provider number/ID</w:t>
      </w:r>
    </w:p>
    <w:p w14:paraId="51D9EEC1" w14:textId="77777777" w:rsidR="000070BC" w:rsidRDefault="000070BC" w:rsidP="001B687F">
      <w:pPr>
        <w:pStyle w:val="ListParagraph"/>
      </w:pPr>
    </w:p>
    <w:p w14:paraId="30A941F3" w14:textId="77777777" w:rsidR="001B687F" w:rsidRDefault="001B687F" w:rsidP="001B687F">
      <w:pPr>
        <w:pStyle w:val="ListParagraph"/>
        <w:ind w:left="0"/>
      </w:pPr>
    </w:p>
    <w:p w14:paraId="6853C6F7" w14:textId="77777777" w:rsidR="000070BC" w:rsidRDefault="001B687F" w:rsidP="000070BC">
      <w:pPr>
        <w:rPr>
          <w:b/>
        </w:rPr>
      </w:pPr>
      <w:r>
        <w:rPr>
          <w:b/>
        </w:rPr>
        <w:t>Prior Authorization Checklist</w:t>
      </w:r>
    </w:p>
    <w:p w14:paraId="7104DAB4" w14:textId="77777777" w:rsidR="001B687F" w:rsidRDefault="001B687F" w:rsidP="000070BC">
      <w:pPr>
        <w:rPr>
          <w:b/>
        </w:rPr>
      </w:pPr>
    </w:p>
    <w:p w14:paraId="62471796" w14:textId="77777777" w:rsidR="001B687F" w:rsidRDefault="001B687F" w:rsidP="001B687F">
      <w:r>
        <w:t>Wondering about prior authorization? You need if you are billing for:</w:t>
      </w:r>
    </w:p>
    <w:p w14:paraId="5C60BA6B" w14:textId="77777777" w:rsidR="001B687F" w:rsidRDefault="001B687F" w:rsidP="001B687F"/>
    <w:p w14:paraId="05DC8E6A" w14:textId="77777777" w:rsidR="001B687F" w:rsidRDefault="001B687F" w:rsidP="001B687F">
      <w:pPr>
        <w:pStyle w:val="ListParagraph"/>
        <w:numPr>
          <w:ilvl w:val="0"/>
          <w:numId w:val="2"/>
        </w:numPr>
        <w:spacing w:after="160" w:line="259" w:lineRule="auto"/>
      </w:pPr>
      <w:r>
        <w:t>Durable medical equipment and medical supplies – send a copy of the original order, but providers are not required to furnish a product invoice and providers must use proper HCPCS of A9999 if unlisted</w:t>
      </w:r>
    </w:p>
    <w:p w14:paraId="79502F6D" w14:textId="77777777" w:rsidR="001B687F" w:rsidRDefault="001B687F" w:rsidP="001B687F">
      <w:pPr>
        <w:pStyle w:val="ListParagraph"/>
        <w:numPr>
          <w:ilvl w:val="0"/>
          <w:numId w:val="2"/>
        </w:numPr>
        <w:spacing w:after="160" w:line="259" w:lineRule="auto"/>
      </w:pPr>
      <w:r>
        <w:t>Biofeedback</w:t>
      </w:r>
    </w:p>
    <w:p w14:paraId="14386E46" w14:textId="77777777" w:rsidR="001B687F" w:rsidRDefault="001B687F" w:rsidP="001B687F">
      <w:pPr>
        <w:pStyle w:val="ListParagraph"/>
        <w:numPr>
          <w:ilvl w:val="0"/>
          <w:numId w:val="2"/>
        </w:numPr>
        <w:spacing w:after="160" w:line="259" w:lineRule="auto"/>
      </w:pPr>
      <w:r>
        <w:t>EMG/NCS services</w:t>
      </w:r>
    </w:p>
    <w:p w14:paraId="53EB28B4" w14:textId="77777777" w:rsidR="001B687F" w:rsidRDefault="001B687F" w:rsidP="001B687F">
      <w:pPr>
        <w:pStyle w:val="ListParagraph"/>
        <w:numPr>
          <w:ilvl w:val="0"/>
          <w:numId w:val="2"/>
        </w:numPr>
        <w:spacing w:after="160" w:line="259" w:lineRule="auto"/>
      </w:pPr>
      <w:r>
        <w:t>Physical medicine (PT and OT)</w:t>
      </w:r>
    </w:p>
    <w:p w14:paraId="7F8560D9" w14:textId="77777777" w:rsidR="001B687F" w:rsidRDefault="001B687F" w:rsidP="001B687F">
      <w:pPr>
        <w:pStyle w:val="ListParagraph"/>
        <w:numPr>
          <w:ilvl w:val="0"/>
          <w:numId w:val="2"/>
        </w:numPr>
        <w:spacing w:after="160" w:line="259" w:lineRule="auto"/>
      </w:pPr>
      <w:r>
        <w:t>Manipulative treatment</w:t>
      </w:r>
    </w:p>
    <w:p w14:paraId="3AE14E68" w14:textId="77777777" w:rsidR="001B687F" w:rsidRDefault="001B687F" w:rsidP="001B687F">
      <w:pPr>
        <w:pStyle w:val="ListParagraph"/>
        <w:numPr>
          <w:ilvl w:val="0"/>
          <w:numId w:val="2"/>
        </w:numPr>
        <w:spacing w:after="160" w:line="259" w:lineRule="auto"/>
      </w:pPr>
      <w:r>
        <w:t>Chiropractic treatment</w:t>
      </w:r>
    </w:p>
    <w:p w14:paraId="7089C312" w14:textId="77777777" w:rsidR="001B687F" w:rsidRDefault="001B687F" w:rsidP="000070BC">
      <w:pPr>
        <w:pStyle w:val="ListParagraph"/>
        <w:numPr>
          <w:ilvl w:val="0"/>
          <w:numId w:val="2"/>
        </w:numPr>
        <w:spacing w:after="160" w:line="259" w:lineRule="auto"/>
      </w:pPr>
      <w:r>
        <w:t>Pain management</w:t>
      </w:r>
    </w:p>
    <w:p w14:paraId="700D7AD4" w14:textId="77777777" w:rsidR="001B687F" w:rsidRDefault="001B687F" w:rsidP="000070BC">
      <w:r>
        <w:t xml:space="preserve">Factors that will </w:t>
      </w:r>
      <w:r w:rsidRPr="001B687F">
        <w:rPr>
          <w:b/>
        </w:rPr>
        <w:t>sink</w:t>
      </w:r>
      <w:r>
        <w:t xml:space="preserve"> a prior authorization request include:</w:t>
      </w:r>
    </w:p>
    <w:p w14:paraId="502E096E" w14:textId="77777777" w:rsidR="001B687F" w:rsidRDefault="001B687F" w:rsidP="000070BC"/>
    <w:p w14:paraId="112CA8E4" w14:textId="77777777" w:rsidR="001B687F" w:rsidRDefault="001B687F" w:rsidP="001B687F">
      <w:pPr>
        <w:pStyle w:val="ListParagraph"/>
        <w:numPr>
          <w:ilvl w:val="0"/>
          <w:numId w:val="2"/>
        </w:numPr>
        <w:spacing w:after="160" w:line="259" w:lineRule="auto"/>
      </w:pPr>
      <w:r>
        <w:lastRenderedPageBreak/>
        <w:t>The case is closed</w:t>
      </w:r>
    </w:p>
    <w:p w14:paraId="7957E3D4" w14:textId="77777777" w:rsidR="001B687F" w:rsidRDefault="001B687F" w:rsidP="001B687F">
      <w:pPr>
        <w:pStyle w:val="ListParagraph"/>
        <w:numPr>
          <w:ilvl w:val="0"/>
          <w:numId w:val="2"/>
        </w:numPr>
        <w:spacing w:after="160" w:line="259" w:lineRule="auto"/>
      </w:pPr>
      <w:r>
        <w:t>Claimant can’t be found</w:t>
      </w:r>
    </w:p>
    <w:p w14:paraId="3BCC3447" w14:textId="77777777" w:rsidR="001B687F" w:rsidRDefault="001B687F" w:rsidP="001B687F">
      <w:pPr>
        <w:pStyle w:val="ListParagraph"/>
        <w:numPr>
          <w:ilvl w:val="0"/>
          <w:numId w:val="2"/>
        </w:numPr>
        <w:spacing w:after="160" w:line="259" w:lineRule="auto"/>
      </w:pPr>
      <w:r>
        <w:t>Injury date is missing for a claimant with multiple cases</w:t>
      </w:r>
    </w:p>
    <w:p w14:paraId="23FE4FCD" w14:textId="77777777" w:rsidR="001B687F" w:rsidRDefault="001B687F" w:rsidP="001B687F">
      <w:pPr>
        <w:pStyle w:val="ListParagraph"/>
        <w:numPr>
          <w:ilvl w:val="0"/>
          <w:numId w:val="2"/>
        </w:numPr>
        <w:spacing w:after="160" w:line="259" w:lineRule="auto"/>
      </w:pPr>
      <w:r>
        <w:t>The service requested in unclear</w:t>
      </w:r>
    </w:p>
    <w:p w14:paraId="6E48344D" w14:textId="77777777" w:rsidR="001B687F" w:rsidRDefault="001B687F" w:rsidP="001B687F">
      <w:pPr>
        <w:pStyle w:val="ListParagraph"/>
        <w:numPr>
          <w:ilvl w:val="0"/>
          <w:numId w:val="2"/>
        </w:numPr>
        <w:spacing w:after="160" w:line="259" w:lineRule="auto"/>
      </w:pPr>
      <w:r>
        <w:t>Any of the following are missing: prescription (if required), rental or purchase price (if required), and frequency and duration.</w:t>
      </w:r>
    </w:p>
    <w:p w14:paraId="630B5D17" w14:textId="77777777" w:rsidR="001B687F" w:rsidRDefault="001B687F" w:rsidP="001B687F">
      <w:pPr>
        <w:ind w:left="360"/>
      </w:pPr>
      <w:r w:rsidRPr="001B687F">
        <w:rPr>
          <w:b/>
        </w:rPr>
        <w:t>Caution:</w:t>
      </w:r>
      <w:r>
        <w:t xml:space="preserve"> “They want the authorization form to be exact,” </w:t>
      </w:r>
      <w:proofErr w:type="spellStart"/>
      <w:r>
        <w:t>Bukaukas</w:t>
      </w:r>
      <w:proofErr w:type="spellEnd"/>
      <w:r>
        <w:t xml:space="preserve"> says. “If we put ‘four weeks’ and [the patient’s] verbiage says ‘one month,’ the federal Department of Labor says [the claim] can be denied for that.”</w:t>
      </w:r>
    </w:p>
    <w:p w14:paraId="45FF2395" w14:textId="77777777" w:rsidR="001B687F" w:rsidRDefault="001B687F" w:rsidP="001B687F">
      <w:pPr>
        <w:ind w:left="360"/>
      </w:pPr>
    </w:p>
    <w:p w14:paraId="6804D801" w14:textId="77777777" w:rsidR="001B687F" w:rsidRDefault="001B687F" w:rsidP="001B687F">
      <w:pPr>
        <w:ind w:left="360"/>
        <w:rPr>
          <w:b/>
        </w:rPr>
      </w:pPr>
      <w:r>
        <w:rPr>
          <w:b/>
        </w:rPr>
        <w:t xml:space="preserve">Steer Clear of These </w:t>
      </w:r>
      <w:r w:rsidR="002229B5">
        <w:rPr>
          <w:b/>
        </w:rPr>
        <w:t>14</w:t>
      </w:r>
      <w:r>
        <w:rPr>
          <w:b/>
        </w:rPr>
        <w:t xml:space="preserve"> Denials</w:t>
      </w:r>
      <w:r w:rsidR="002229B5">
        <w:rPr>
          <w:b/>
        </w:rPr>
        <w:t xml:space="preserve"> Triggers</w:t>
      </w:r>
    </w:p>
    <w:p w14:paraId="1CDF8624" w14:textId="77777777" w:rsidR="001B687F" w:rsidRDefault="001B687F" w:rsidP="001B687F">
      <w:pPr>
        <w:ind w:left="360"/>
        <w:rPr>
          <w:b/>
        </w:rPr>
      </w:pPr>
    </w:p>
    <w:p w14:paraId="4629DC82" w14:textId="77777777" w:rsidR="001B687F" w:rsidRDefault="001B687F" w:rsidP="001B687F">
      <w:pPr>
        <w:ind w:left="360"/>
      </w:pPr>
      <w:r>
        <w:t>Some reasons for workers’ comp denials are similar to what causes other payers to deny non-workers’ comp claims. They include:</w:t>
      </w:r>
    </w:p>
    <w:p w14:paraId="4EFD415D" w14:textId="77777777" w:rsidR="001B687F" w:rsidRDefault="001B687F" w:rsidP="001B687F">
      <w:pPr>
        <w:ind w:left="360"/>
      </w:pPr>
    </w:p>
    <w:p w14:paraId="64C17A54" w14:textId="77777777" w:rsidR="001B687F" w:rsidRDefault="001B687F" w:rsidP="002229B5">
      <w:pPr>
        <w:pStyle w:val="ListParagraph"/>
        <w:numPr>
          <w:ilvl w:val="0"/>
          <w:numId w:val="3"/>
        </w:numPr>
        <w:spacing w:after="160" w:line="259" w:lineRule="auto"/>
      </w:pPr>
      <w:r>
        <w:t>Claimant is ineligible</w:t>
      </w:r>
    </w:p>
    <w:p w14:paraId="6D7ED7C8" w14:textId="77777777" w:rsidR="001B687F" w:rsidRDefault="001B687F" w:rsidP="002229B5">
      <w:pPr>
        <w:pStyle w:val="ListParagraph"/>
        <w:numPr>
          <w:ilvl w:val="0"/>
          <w:numId w:val="3"/>
        </w:numPr>
        <w:spacing w:after="160" w:line="259" w:lineRule="auto"/>
      </w:pPr>
      <w:r>
        <w:t>Disagreements with accepted condition</w:t>
      </w:r>
    </w:p>
    <w:p w14:paraId="362909BF" w14:textId="77777777" w:rsidR="001B687F" w:rsidRDefault="001B687F" w:rsidP="002229B5">
      <w:pPr>
        <w:pStyle w:val="ListParagraph"/>
        <w:numPr>
          <w:ilvl w:val="0"/>
          <w:numId w:val="3"/>
        </w:numPr>
        <w:spacing w:after="160" w:line="259" w:lineRule="auto"/>
      </w:pPr>
      <w:r>
        <w:t>No authorization</w:t>
      </w:r>
    </w:p>
    <w:p w14:paraId="5F67A20D" w14:textId="77777777" w:rsidR="001B687F" w:rsidRDefault="001B687F" w:rsidP="002229B5">
      <w:pPr>
        <w:pStyle w:val="ListParagraph"/>
        <w:numPr>
          <w:ilvl w:val="0"/>
          <w:numId w:val="3"/>
        </w:numPr>
        <w:spacing w:after="160" w:line="259" w:lineRule="auto"/>
      </w:pPr>
      <w:r>
        <w:t>Improper CPT code</w:t>
      </w:r>
      <w:r w:rsidR="002229B5">
        <w:t>(</w:t>
      </w:r>
      <w:r>
        <w:t>s</w:t>
      </w:r>
      <w:r w:rsidR="002229B5">
        <w:t>)</w:t>
      </w:r>
    </w:p>
    <w:p w14:paraId="25C0B95F" w14:textId="77777777" w:rsidR="001B687F" w:rsidRDefault="001B687F" w:rsidP="002229B5">
      <w:pPr>
        <w:pStyle w:val="ListParagraph"/>
        <w:numPr>
          <w:ilvl w:val="0"/>
          <w:numId w:val="3"/>
        </w:numPr>
        <w:spacing w:after="160" w:line="259" w:lineRule="auto"/>
      </w:pPr>
      <w:r>
        <w:t>Improper ICD 10 code</w:t>
      </w:r>
      <w:r w:rsidR="002229B5">
        <w:t>(s)</w:t>
      </w:r>
    </w:p>
    <w:p w14:paraId="6D943385" w14:textId="77777777" w:rsidR="002229B5" w:rsidRDefault="002229B5" w:rsidP="002229B5">
      <w:pPr>
        <w:pStyle w:val="ListParagraph"/>
        <w:numPr>
          <w:ilvl w:val="0"/>
          <w:numId w:val="3"/>
        </w:numPr>
        <w:spacing w:after="160" w:line="259" w:lineRule="auto"/>
      </w:pPr>
      <w:r>
        <w:t>Claimant ID or tax ID are missing</w:t>
      </w:r>
    </w:p>
    <w:p w14:paraId="6989767E" w14:textId="77777777" w:rsidR="002229B5" w:rsidRDefault="002229B5" w:rsidP="002229B5">
      <w:pPr>
        <w:pStyle w:val="ListParagraph"/>
        <w:numPr>
          <w:ilvl w:val="0"/>
          <w:numId w:val="3"/>
        </w:numPr>
        <w:spacing w:after="160" w:line="259" w:lineRule="auto"/>
      </w:pPr>
      <w:r>
        <w:t>Incorrect provider number</w:t>
      </w:r>
    </w:p>
    <w:p w14:paraId="59939F4E" w14:textId="77777777" w:rsidR="002229B5" w:rsidRDefault="002229B5" w:rsidP="002229B5">
      <w:pPr>
        <w:pStyle w:val="ListParagraph"/>
        <w:numPr>
          <w:ilvl w:val="0"/>
          <w:numId w:val="3"/>
        </w:numPr>
        <w:spacing w:after="160" w:line="259" w:lineRule="auto"/>
      </w:pPr>
      <w:r>
        <w:t>No physician signature on file</w:t>
      </w:r>
    </w:p>
    <w:p w14:paraId="0F5363E2" w14:textId="77777777" w:rsidR="002229B5" w:rsidRDefault="002229B5" w:rsidP="002229B5">
      <w:pPr>
        <w:pStyle w:val="ListParagraph"/>
        <w:numPr>
          <w:ilvl w:val="0"/>
          <w:numId w:val="3"/>
        </w:numPr>
        <w:spacing w:after="160" w:line="259" w:lineRule="auto"/>
      </w:pPr>
      <w:r>
        <w:t>The provider is not enrolled</w:t>
      </w:r>
    </w:p>
    <w:p w14:paraId="0D2B81D6" w14:textId="77777777" w:rsidR="002229B5" w:rsidRDefault="002229B5" w:rsidP="002229B5">
      <w:pPr>
        <w:pStyle w:val="ListParagraph"/>
        <w:numPr>
          <w:ilvl w:val="0"/>
          <w:numId w:val="3"/>
        </w:numPr>
        <w:spacing w:after="160" w:line="259" w:lineRule="auto"/>
      </w:pPr>
      <w:r>
        <w:t>The patient reached maximum medical improvement</w:t>
      </w:r>
    </w:p>
    <w:p w14:paraId="5920B313" w14:textId="77777777" w:rsidR="002229B5" w:rsidRDefault="002229B5" w:rsidP="002229B5">
      <w:pPr>
        <w:pStyle w:val="ListParagraph"/>
        <w:numPr>
          <w:ilvl w:val="0"/>
          <w:numId w:val="3"/>
        </w:numPr>
        <w:spacing w:after="160" w:line="259" w:lineRule="auto"/>
      </w:pPr>
      <w:r>
        <w:t>Service is not considered “medically necessary”</w:t>
      </w:r>
    </w:p>
    <w:p w14:paraId="5682D2EB" w14:textId="77777777" w:rsidR="002229B5" w:rsidRDefault="002229B5" w:rsidP="002229B5">
      <w:pPr>
        <w:pStyle w:val="ListParagraph"/>
        <w:numPr>
          <w:ilvl w:val="0"/>
          <w:numId w:val="3"/>
        </w:numPr>
        <w:spacing w:after="160" w:line="259" w:lineRule="auto"/>
      </w:pPr>
      <w:r>
        <w:t>Service is not related to the condition</w:t>
      </w:r>
    </w:p>
    <w:p w14:paraId="73E2543D" w14:textId="77777777" w:rsidR="002229B5" w:rsidRDefault="002229B5" w:rsidP="002229B5">
      <w:pPr>
        <w:pStyle w:val="ListParagraph"/>
        <w:numPr>
          <w:ilvl w:val="0"/>
          <w:numId w:val="3"/>
        </w:numPr>
        <w:spacing w:after="160" w:line="259" w:lineRule="auto"/>
      </w:pPr>
      <w:r>
        <w:t>There is no active, open claim on file</w:t>
      </w:r>
    </w:p>
    <w:p w14:paraId="4CC6A451" w14:textId="77777777" w:rsidR="002229B5" w:rsidRDefault="002229B5" w:rsidP="002229B5">
      <w:pPr>
        <w:pStyle w:val="ListParagraph"/>
        <w:numPr>
          <w:ilvl w:val="0"/>
          <w:numId w:val="3"/>
        </w:numPr>
        <w:spacing w:after="160" w:line="259" w:lineRule="auto"/>
      </w:pPr>
      <w:r>
        <w:t>The claim wasn’t filed on time.</w:t>
      </w:r>
    </w:p>
    <w:p w14:paraId="7DAC2469" w14:textId="5DF042A1" w:rsidR="001C1B32" w:rsidRDefault="001C1B32" w:rsidP="001C1B32">
      <w:pPr>
        <w:spacing w:after="160" w:line="259" w:lineRule="auto"/>
        <w:rPr>
          <w:b/>
        </w:rPr>
      </w:pPr>
      <w:r>
        <w:rPr>
          <w:b/>
        </w:rPr>
        <w:t>CPT</w:t>
      </w:r>
      <w:r w:rsidRPr="00733DEA">
        <w:rPr>
          <w:rFonts w:ascii="Lucida Grande" w:hAnsi="Lucida Grande"/>
          <w:b/>
          <w:color w:val="000000"/>
        </w:rPr>
        <w:t>®</w:t>
      </w:r>
      <w:r>
        <w:rPr>
          <w:b/>
        </w:rPr>
        <w:t xml:space="preserve"> Reference Tool for Workers’ Comp Claims</w:t>
      </w:r>
    </w:p>
    <w:p w14:paraId="47F59578" w14:textId="7D8166B2" w:rsidR="001C1B32" w:rsidRDefault="001C1B32" w:rsidP="001C1B32">
      <w:r>
        <w:t xml:space="preserve">There are several services unique to workers comp that are worth keeping in mind, </w:t>
      </w:r>
      <w:proofErr w:type="spellStart"/>
      <w:r>
        <w:t>Bukaukas</w:t>
      </w:r>
      <w:proofErr w:type="spellEnd"/>
      <w:r>
        <w:t xml:space="preserve"> says.</w:t>
      </w:r>
    </w:p>
    <w:p w14:paraId="684DBDB6" w14:textId="77777777" w:rsidR="001C1B32" w:rsidRDefault="001C1B32" w:rsidP="001C1B32"/>
    <w:p w14:paraId="3373F5FC" w14:textId="18FD326A" w:rsidR="001C1B32" w:rsidRDefault="001C1B32" w:rsidP="001C1B32">
      <w:pPr>
        <w:pStyle w:val="ListParagraph"/>
        <w:numPr>
          <w:ilvl w:val="0"/>
          <w:numId w:val="2"/>
        </w:numPr>
        <w:spacing w:after="160" w:line="259" w:lineRule="auto"/>
      </w:pPr>
      <w:r>
        <w:t>CPT</w:t>
      </w:r>
      <w:r w:rsidRPr="00733DEA">
        <w:rPr>
          <w:rFonts w:ascii="Lucida Grande" w:hAnsi="Lucida Grande"/>
          <w:b/>
          <w:color w:val="000000"/>
        </w:rPr>
        <w:t>®</w:t>
      </w:r>
      <w:r>
        <w:t xml:space="preserve"> 99456 CN – failing to keep an appointment</w:t>
      </w:r>
    </w:p>
    <w:p w14:paraId="02B092C7" w14:textId="4483DACF" w:rsidR="001C1B32" w:rsidRDefault="001C1B32" w:rsidP="001C1B32">
      <w:pPr>
        <w:pStyle w:val="ListParagraph"/>
        <w:numPr>
          <w:ilvl w:val="0"/>
          <w:numId w:val="2"/>
        </w:numPr>
        <w:spacing w:after="160" w:line="259" w:lineRule="auto"/>
      </w:pPr>
      <w:r>
        <w:t>CPT</w:t>
      </w:r>
      <w:r w:rsidRPr="00733DEA">
        <w:rPr>
          <w:rFonts w:ascii="Lucida Grande" w:hAnsi="Lucida Grande"/>
          <w:b/>
          <w:color w:val="000000"/>
        </w:rPr>
        <w:t>®</w:t>
      </w:r>
      <w:r>
        <w:t xml:space="preserve"> 99455 – impairment rating</w:t>
      </w:r>
    </w:p>
    <w:p w14:paraId="4AFB81AF" w14:textId="116E09EC" w:rsidR="001C1B32" w:rsidRDefault="001C1B32" w:rsidP="001C1B32">
      <w:pPr>
        <w:pStyle w:val="ListParagraph"/>
        <w:numPr>
          <w:ilvl w:val="0"/>
          <w:numId w:val="2"/>
        </w:numPr>
        <w:spacing w:after="160" w:line="259" w:lineRule="auto"/>
      </w:pPr>
      <w:r>
        <w:t>CPT</w:t>
      </w:r>
      <w:r w:rsidRPr="00733DEA">
        <w:rPr>
          <w:rFonts w:ascii="Lucida Grande" w:hAnsi="Lucida Grande"/>
          <w:b/>
          <w:color w:val="000000"/>
        </w:rPr>
        <w:t>®</w:t>
      </w:r>
      <w:r>
        <w:t xml:space="preserve"> 99456 – independent medical exam</w:t>
      </w:r>
    </w:p>
    <w:p w14:paraId="2DAAE28E" w14:textId="457F6A97" w:rsidR="001C1B32" w:rsidRDefault="001C1B32" w:rsidP="001C1B32">
      <w:pPr>
        <w:pStyle w:val="ListParagraph"/>
        <w:numPr>
          <w:ilvl w:val="0"/>
          <w:numId w:val="2"/>
        </w:numPr>
        <w:spacing w:after="160" w:line="259" w:lineRule="auto"/>
      </w:pPr>
      <w:r>
        <w:t>CPT</w:t>
      </w:r>
      <w:r w:rsidRPr="00733DEA">
        <w:rPr>
          <w:rFonts w:ascii="Lucida Grande" w:hAnsi="Lucida Grande"/>
          <w:b/>
          <w:color w:val="000000"/>
        </w:rPr>
        <w:t>®</w:t>
      </w:r>
      <w:r>
        <w:t xml:space="preserve"> 99457 – independent medical exam, consensus</w:t>
      </w:r>
    </w:p>
    <w:p w14:paraId="0FC2331C" w14:textId="4429041D" w:rsidR="001C1B32" w:rsidRDefault="001C1B32" w:rsidP="001C1B32">
      <w:pPr>
        <w:pStyle w:val="ListParagraph"/>
        <w:numPr>
          <w:ilvl w:val="0"/>
          <w:numId w:val="2"/>
        </w:numPr>
        <w:spacing w:after="160" w:line="259" w:lineRule="auto"/>
      </w:pPr>
      <w:r>
        <w:t>CPT</w:t>
      </w:r>
      <w:r w:rsidRPr="00733DEA">
        <w:rPr>
          <w:rFonts w:ascii="Lucida Grande" w:hAnsi="Lucida Grande"/>
          <w:b/>
          <w:color w:val="000000"/>
        </w:rPr>
        <w:t>®</w:t>
      </w:r>
      <w:r>
        <w:t xml:space="preserve"> 99750 – functional capacity evaluation</w:t>
      </w:r>
    </w:p>
    <w:p w14:paraId="282F84A0" w14:textId="748F9D88" w:rsidR="001C1B32" w:rsidRDefault="001C1B32" w:rsidP="001C1B32">
      <w:pPr>
        <w:pStyle w:val="ListParagraph"/>
        <w:numPr>
          <w:ilvl w:val="0"/>
          <w:numId w:val="2"/>
        </w:numPr>
        <w:spacing w:after="160" w:line="259" w:lineRule="auto"/>
      </w:pPr>
      <w:r>
        <w:t>CPT</w:t>
      </w:r>
      <w:r w:rsidRPr="00733DEA">
        <w:rPr>
          <w:rFonts w:ascii="Lucida Grande" w:hAnsi="Lucida Grande"/>
          <w:b/>
          <w:color w:val="000000"/>
        </w:rPr>
        <w:t>®</w:t>
      </w:r>
      <w:r>
        <w:t xml:space="preserve"> 99020 – narrative report or special reports, such as insurance forms</w:t>
      </w:r>
    </w:p>
    <w:p w14:paraId="41FFC498" w14:textId="449B51CF" w:rsidR="001C1B32" w:rsidRDefault="001C1B32" w:rsidP="001C1B32">
      <w:pPr>
        <w:pStyle w:val="ListParagraph"/>
        <w:numPr>
          <w:ilvl w:val="0"/>
          <w:numId w:val="2"/>
        </w:numPr>
        <w:spacing w:after="160" w:line="259" w:lineRule="auto"/>
      </w:pPr>
      <w:r>
        <w:t>CPT</w:t>
      </w:r>
      <w:r w:rsidRPr="00733DEA">
        <w:rPr>
          <w:rFonts w:ascii="Lucida Grande" w:hAnsi="Lucida Grande"/>
          <w:b/>
          <w:color w:val="000000"/>
        </w:rPr>
        <w:t>®</w:t>
      </w:r>
      <w:r>
        <w:t xml:space="preserve"> 99075 – medical testimony</w:t>
      </w:r>
    </w:p>
    <w:p w14:paraId="26167E3C" w14:textId="77777777" w:rsidR="001C1B32" w:rsidRDefault="001C1B32" w:rsidP="001C1B32">
      <w:pPr>
        <w:spacing w:after="160" w:line="259" w:lineRule="auto"/>
      </w:pPr>
    </w:p>
    <w:p w14:paraId="013A3E54" w14:textId="77777777" w:rsidR="001C1B32" w:rsidRPr="001C1B32" w:rsidRDefault="001C1B32" w:rsidP="001C1B32">
      <w:pPr>
        <w:spacing w:after="160" w:line="259" w:lineRule="auto"/>
      </w:pPr>
    </w:p>
    <w:p w14:paraId="7B9A9083" w14:textId="77777777" w:rsidR="002229B5" w:rsidRDefault="002229B5" w:rsidP="002229B5">
      <w:pPr>
        <w:spacing w:after="160" w:line="259" w:lineRule="auto"/>
      </w:pPr>
      <w:r>
        <w:t>[Sidebar #1]</w:t>
      </w:r>
    </w:p>
    <w:p w14:paraId="73A6F0AA" w14:textId="77777777" w:rsidR="002229B5" w:rsidRDefault="002229B5" w:rsidP="002229B5">
      <w:pPr>
        <w:spacing w:after="160" w:line="259" w:lineRule="auto"/>
        <w:rPr>
          <w:i/>
        </w:rPr>
      </w:pPr>
      <w:r>
        <w:rPr>
          <w:i/>
        </w:rPr>
        <w:t>Workers’ Comp</w:t>
      </w:r>
    </w:p>
    <w:p w14:paraId="666BAC5B" w14:textId="77777777" w:rsidR="002229B5" w:rsidRDefault="002229B5" w:rsidP="002229B5">
      <w:pPr>
        <w:spacing w:after="160" w:line="259" w:lineRule="auto"/>
        <w:rPr>
          <w:b/>
        </w:rPr>
      </w:pPr>
      <w:r w:rsidRPr="002229B5">
        <w:rPr>
          <w:b/>
        </w:rPr>
        <w:t>Revealed: Common CMS-1500</w:t>
      </w:r>
      <w:r>
        <w:rPr>
          <w:b/>
        </w:rPr>
        <w:t xml:space="preserve"> Form Mistakes T</w:t>
      </w:r>
      <w:r w:rsidRPr="002229B5">
        <w:rPr>
          <w:b/>
        </w:rPr>
        <w:t xml:space="preserve">hat </w:t>
      </w:r>
      <w:r>
        <w:rPr>
          <w:b/>
        </w:rPr>
        <w:t>Cause D</w:t>
      </w:r>
      <w:r w:rsidRPr="002229B5">
        <w:rPr>
          <w:b/>
        </w:rPr>
        <w:t>enials.</w:t>
      </w:r>
    </w:p>
    <w:p w14:paraId="4BC00FFA" w14:textId="77777777" w:rsidR="002229B5" w:rsidRDefault="002229B5" w:rsidP="002229B5">
      <w:r>
        <w:t xml:space="preserve">The devil is always in the details, and when it comes to workers’ comp, it’s often problems with the CMS-1500 form that cause denials, says Trish </w:t>
      </w:r>
      <w:proofErr w:type="spellStart"/>
      <w:r>
        <w:t>Bukauskas</w:t>
      </w:r>
      <w:proofErr w:type="spellEnd"/>
      <w:r>
        <w:t>, a coding and billing expert who recently presented (</w:t>
      </w:r>
      <w:r w:rsidRPr="000070BC">
        <w:t xml:space="preserve">https://www.audioeducator.com/multi-speciality-coding-training/workers-compensation-medical-billing.html </w:t>
      </w:r>
      <w:r>
        <w:t xml:space="preserve">) for </w:t>
      </w:r>
      <w:proofErr w:type="spellStart"/>
      <w:r>
        <w:t>AudioEducator</w:t>
      </w:r>
      <w:proofErr w:type="spellEnd"/>
      <w:r>
        <w:t>.</w:t>
      </w:r>
    </w:p>
    <w:p w14:paraId="2231B965" w14:textId="77777777" w:rsidR="002229B5" w:rsidRDefault="002229B5" w:rsidP="002229B5"/>
    <w:p w14:paraId="28F0C085" w14:textId="371684B6" w:rsidR="009D6DF2" w:rsidRDefault="002229B5" w:rsidP="002229B5">
      <w:r>
        <w:t>Note: The CMS-1500 often goes by its older name—the HCFA-1500 form.</w:t>
      </w:r>
      <w:r w:rsidR="009D6DF2">
        <w:t xml:space="preserve"> No matter what you like to call it, attention to this checklist will ensure that your workers’ comp claims are paid.</w:t>
      </w:r>
    </w:p>
    <w:p w14:paraId="5A3525B1" w14:textId="77777777" w:rsidR="009D6DF2" w:rsidRDefault="009D6DF2" w:rsidP="009D6DF2">
      <w:pPr>
        <w:spacing w:after="160" w:line="259" w:lineRule="auto"/>
        <w:rPr>
          <w:i/>
        </w:rPr>
      </w:pPr>
    </w:p>
    <w:p w14:paraId="38426648" w14:textId="529DBC40" w:rsidR="002229B5" w:rsidRDefault="009D6DF2" w:rsidP="009D6DF2">
      <w:pPr>
        <w:pStyle w:val="ListParagraph"/>
        <w:numPr>
          <w:ilvl w:val="0"/>
          <w:numId w:val="4"/>
        </w:numPr>
        <w:spacing w:after="160" w:line="259" w:lineRule="auto"/>
      </w:pPr>
      <w:r>
        <w:t>Make sure that you include</w:t>
      </w:r>
      <w:r w:rsidR="002229B5">
        <w:t xml:space="preserve"> signature on file in </w:t>
      </w:r>
      <w:r w:rsidR="002229B5" w:rsidRPr="009D6DF2">
        <w:rPr>
          <w:b/>
        </w:rPr>
        <w:t>boxes 12 and 13</w:t>
      </w:r>
      <w:r w:rsidR="002229B5">
        <w:t xml:space="preserve"> on CMS-1500. </w:t>
      </w:r>
      <w:r w:rsidR="002229B5" w:rsidRPr="009D6DF2">
        <w:rPr>
          <w:b/>
        </w:rPr>
        <w:t>Note:</w:t>
      </w:r>
      <w:r w:rsidR="002229B5">
        <w:t xml:space="preserve"> The date in box 12 </w:t>
      </w:r>
      <w:r>
        <w:t>must</w:t>
      </w:r>
      <w:r w:rsidR="002229B5">
        <w:t xml:space="preserve"> be the same as the date in box 24.</w:t>
      </w:r>
    </w:p>
    <w:p w14:paraId="084BC63C" w14:textId="3DB1C256" w:rsidR="009D6DF2" w:rsidRDefault="009D6DF2" w:rsidP="009D6DF2">
      <w:pPr>
        <w:pStyle w:val="ListParagraph"/>
        <w:numPr>
          <w:ilvl w:val="0"/>
          <w:numId w:val="4"/>
        </w:numPr>
        <w:spacing w:after="160" w:line="259" w:lineRule="auto"/>
      </w:pPr>
      <w:r w:rsidRPr="009D6DF2">
        <w:rPr>
          <w:b/>
        </w:rPr>
        <w:t>Box 21:</w:t>
      </w:r>
      <w:r>
        <w:t xml:space="preserve"> If the claim spans the time period covering the switch from ICD-9 to ICD-10, you need two separate forms—one for ICD-9 and another for ICD-10.</w:t>
      </w:r>
    </w:p>
    <w:p w14:paraId="07B4C9E3" w14:textId="6EBD56E6" w:rsidR="009D6DF2" w:rsidRDefault="009D6DF2" w:rsidP="009D6DF2">
      <w:pPr>
        <w:pStyle w:val="ListParagraph"/>
        <w:numPr>
          <w:ilvl w:val="0"/>
          <w:numId w:val="4"/>
        </w:numPr>
        <w:spacing w:after="160" w:line="259" w:lineRule="auto"/>
      </w:pPr>
      <w:r w:rsidRPr="009D6DF2">
        <w:rPr>
          <w:b/>
        </w:rPr>
        <w:t>Box 31</w:t>
      </w:r>
      <w:r>
        <w:t xml:space="preserve"> needs the signature of the treating provider and the bill date must be after last date of service.</w:t>
      </w:r>
    </w:p>
    <w:p w14:paraId="1A617F99" w14:textId="7F00C4CD" w:rsidR="009D6DF2" w:rsidRDefault="009D6DF2" w:rsidP="009D6DF2">
      <w:pPr>
        <w:pStyle w:val="ListParagraph"/>
        <w:numPr>
          <w:ilvl w:val="0"/>
          <w:numId w:val="4"/>
        </w:numPr>
        <w:spacing w:after="160" w:line="259" w:lineRule="auto"/>
      </w:pPr>
      <w:r w:rsidRPr="009D6DF2">
        <w:rPr>
          <w:b/>
        </w:rPr>
        <w:t>Box 33</w:t>
      </w:r>
      <w:r>
        <w:t xml:space="preserve"> is the most important of them all—it’s the billing address.</w:t>
      </w:r>
    </w:p>
    <w:p w14:paraId="59471592" w14:textId="45C6B758" w:rsidR="009D6DF2" w:rsidRDefault="009D6DF2" w:rsidP="009D6DF2">
      <w:pPr>
        <w:spacing w:after="160" w:line="259" w:lineRule="auto"/>
      </w:pPr>
      <w:r w:rsidRPr="009D6DF2">
        <w:rPr>
          <w:b/>
        </w:rPr>
        <w:t>Tip:</w:t>
      </w:r>
      <w:r>
        <w:t xml:space="preserve"> Save yourself a headache and lots of paper—file electronically and use direct deposit. Not only does this cut paper work and speed the entire process, but it simplifies things when doing follow up since everything you need is stored online.</w:t>
      </w:r>
    </w:p>
    <w:p w14:paraId="60700D9A" w14:textId="7374821C" w:rsidR="009D6DF2" w:rsidRDefault="009D6DF2" w:rsidP="009D6DF2">
      <w:pPr>
        <w:spacing w:after="160" w:line="259" w:lineRule="auto"/>
      </w:pPr>
      <w:r>
        <w:t>[End Sidebar #1]</w:t>
      </w:r>
    </w:p>
    <w:p w14:paraId="57B04F87" w14:textId="21E7C27D" w:rsidR="009D6DF2" w:rsidRDefault="009D6DF2" w:rsidP="009D6DF2">
      <w:pPr>
        <w:spacing w:after="160" w:line="259" w:lineRule="auto"/>
      </w:pPr>
      <w:r>
        <w:t>[End Article #1]</w:t>
      </w:r>
    </w:p>
    <w:p w14:paraId="171374AF" w14:textId="77777777" w:rsidR="009D6DF2" w:rsidRDefault="009D6DF2" w:rsidP="009D6DF2">
      <w:pPr>
        <w:spacing w:after="160" w:line="259" w:lineRule="auto"/>
      </w:pPr>
    </w:p>
    <w:p w14:paraId="4F012F2A" w14:textId="77777777" w:rsidR="009D6DF2" w:rsidRDefault="009D6DF2" w:rsidP="009D6DF2">
      <w:pPr>
        <w:pStyle w:val="ListParagraph"/>
        <w:spacing w:after="160" w:line="259" w:lineRule="auto"/>
      </w:pPr>
    </w:p>
    <w:p w14:paraId="665A9E96" w14:textId="77777777" w:rsidR="002229B5" w:rsidRDefault="002229B5" w:rsidP="002229B5">
      <w:pPr>
        <w:spacing w:after="160" w:line="259" w:lineRule="auto"/>
      </w:pPr>
    </w:p>
    <w:p w14:paraId="3D82D6CE" w14:textId="77777777" w:rsidR="002229B5" w:rsidRDefault="002229B5" w:rsidP="002229B5">
      <w:pPr>
        <w:pStyle w:val="ListParagraph"/>
        <w:spacing w:after="160" w:line="259" w:lineRule="auto"/>
      </w:pPr>
    </w:p>
    <w:p w14:paraId="5F776F68" w14:textId="77777777" w:rsidR="001B687F" w:rsidRPr="001B687F" w:rsidRDefault="001B687F" w:rsidP="001B687F">
      <w:pPr>
        <w:ind w:left="360"/>
      </w:pPr>
    </w:p>
    <w:p w14:paraId="03F9C911" w14:textId="77777777" w:rsidR="001B687F" w:rsidRDefault="001B687F" w:rsidP="001B687F">
      <w:pPr>
        <w:spacing w:after="160" w:line="259" w:lineRule="auto"/>
      </w:pPr>
    </w:p>
    <w:p w14:paraId="20A35450" w14:textId="77777777" w:rsidR="001B687F" w:rsidRDefault="001B687F" w:rsidP="000070BC"/>
    <w:p w14:paraId="34E65150" w14:textId="77777777" w:rsidR="000070BC" w:rsidRPr="000070BC" w:rsidRDefault="000070BC" w:rsidP="000070BC">
      <w:pPr>
        <w:rPr>
          <w:b/>
        </w:rPr>
      </w:pPr>
    </w:p>
    <w:p w14:paraId="02CA3226" w14:textId="77777777" w:rsidR="000070BC" w:rsidRPr="00854E77" w:rsidRDefault="000070BC" w:rsidP="000070BC"/>
    <w:p w14:paraId="21F2853E" w14:textId="77777777" w:rsidR="002628E2" w:rsidRDefault="002628E2"/>
    <w:sectPr w:rsidR="002628E2" w:rsidSect="00F10B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37BCC"/>
    <w:multiLevelType w:val="hybridMultilevel"/>
    <w:tmpl w:val="35A8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41483"/>
    <w:multiLevelType w:val="hybridMultilevel"/>
    <w:tmpl w:val="A6D6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B2D5F"/>
    <w:multiLevelType w:val="hybridMultilevel"/>
    <w:tmpl w:val="68B67B86"/>
    <w:lvl w:ilvl="0" w:tplc="2BE209E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1688D"/>
    <w:multiLevelType w:val="hybridMultilevel"/>
    <w:tmpl w:val="82464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A2"/>
    <w:rsid w:val="000070BC"/>
    <w:rsid w:val="001B687F"/>
    <w:rsid w:val="001C1B32"/>
    <w:rsid w:val="002229B5"/>
    <w:rsid w:val="002628E2"/>
    <w:rsid w:val="003E07A2"/>
    <w:rsid w:val="008A5DFE"/>
    <w:rsid w:val="009D6DF2"/>
    <w:rsid w:val="00F1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BDE10"/>
  <w14:defaultImageDpi w14:val="300"/>
  <w15:docId w15:val="{CFB8C2AB-3AC2-43F6-85F5-410CBFEE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Engaged Enthusiast Media by Beckett</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Masercola</dc:creator>
  <cp:keywords/>
  <dc:description/>
  <cp:lastModifiedBy>jeff.schmerker</cp:lastModifiedBy>
  <cp:revision>2</cp:revision>
  <dcterms:created xsi:type="dcterms:W3CDTF">2016-11-03T18:29:00Z</dcterms:created>
  <dcterms:modified xsi:type="dcterms:W3CDTF">2016-11-03T18:29:00Z</dcterms:modified>
</cp:coreProperties>
</file>